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D3" w:rsidRDefault="007973D3" w:rsidP="007973D3">
      <w:pPr>
        <w:pStyle w:val="a3"/>
        <w:spacing w:before="0" w:beforeAutospacing="0" w:after="0" w:afterAutospacing="0"/>
        <w:rPr>
          <w:sz w:val="28"/>
          <w:szCs w:val="28"/>
        </w:rPr>
      </w:pPr>
      <w:r>
        <w:rPr>
          <w:sz w:val="28"/>
          <w:szCs w:val="28"/>
        </w:rPr>
        <w:t>Уважаемые РАБОТНИКИ ОБРАЗОВАТЕЛЬНЫХ УЧРЕЖДЕНИЙ! ВЛАДИМИРСКАЯ ОБЛАСТНАЯ ОРГАНИЗАЦИЯ ПРОФСОЮЗА РАБОТНИКОВ НАРОДНОГО ОБРАЗОВАНИЯ И НАУКИ РФ ПРОДОЛЖАЕТ работу по оформлению документов для перевода накопительной части пенсии работников образовательных учреждений 1967 г.р. и моложе в НПФ «Образование и наука».</w:t>
      </w:r>
      <w:bookmarkStart w:id="0" w:name="_GoBack"/>
      <w:bookmarkEnd w:id="0"/>
      <w:r>
        <w:rPr>
          <w:sz w:val="28"/>
          <w:szCs w:val="28"/>
        </w:rPr>
        <w:br/>
        <w:t>Выбор вариантов пенсионного обеспечения в системе обязательного пенсионного страхования</w:t>
      </w:r>
      <w:r>
        <w:rPr>
          <w:sz w:val="28"/>
          <w:szCs w:val="28"/>
        </w:rPr>
        <w:br/>
        <w:t>В 2014-2015 гг.</w:t>
      </w:r>
      <w:r>
        <w:rPr>
          <w:sz w:val="28"/>
          <w:szCs w:val="28"/>
        </w:rPr>
        <w:br/>
        <w:t>В соответствии с принятыми федеральными законами, гражданам 1967 года рождения и моложе, зарегистрированным в системе обязательного пенсионного страхования, в 2014 и 2015 годах предоставлена возможность выбора тарифа страхового взноса на накопительную часть трудовой пенсии: либо оставить 6%, как ранее, либо отказаться от дальнейшего формирования накопительной части пенсии, тем самым направив все страховые взносы, которые за них уплачивают работодатели, на формирование страховой части пенсий, т.е. на выплаты текущих пенсий нынешних пенсионеров.</w:t>
      </w:r>
      <w:r>
        <w:rPr>
          <w:sz w:val="28"/>
          <w:szCs w:val="28"/>
        </w:rPr>
        <w:br/>
        <w:t>Таким образом, если гражданин принял решение отказаться от формирования пенсионных накоплений, страховые взносы, уплаченные за него работодателем в Пенсионный фонд России – в размере индивидуального тарифа (16%) – будут направляться на формирование его страховой части пенсии. Важно отметить, что даже в этом случае все ранее сформированные пенсионные накопления граждан подлежат инвестированию и будут выплачены в полном объеме, когда граждане получат право выйти на пенсию и обратятся за ее назначением.</w:t>
      </w:r>
      <w:r>
        <w:rPr>
          <w:sz w:val="28"/>
          <w:szCs w:val="28"/>
        </w:rPr>
        <w:br/>
        <w:t>Если граждане, которые никогда не подавали заявление о выборе управляющей компании (УК), включая «Внешэкономбанк», или негосударственного пенсионного фонда (НПФ), так называемые «молчуны», желают, чтобы и в последующие годы страховые взносы в размере 6% тарифа индивидуального тарифа по-прежнему направлялись на формирование накопительной части трудовой пенсии, им следует до 31 декабря 2015 года подать заявление о выборе УК либо НПФ. При этом, как и раньше, при переводе пенсионных накоплений в негосударственный пенсионный фонд гражданину необходимо заключить с выбранным НПФ соответствующий договор об обязательном пенсионном страховании.</w:t>
      </w:r>
      <w:r>
        <w:rPr>
          <w:sz w:val="28"/>
          <w:szCs w:val="28"/>
        </w:rPr>
        <w:br/>
        <w:t>Таким образом, выбор 6% тарифа накопительной части пенсии сопряжен с выбором управляющей компании или негосударственного пенсионного фонда. В то же время выбрать или сменить УК или НПФ можно одновременно с отказом от дальнейшего формирования пенсионных накоплений; для этого нужно будет подать заявление об отказе от финансирования накопительной части трудовой пенсии и направлении на финансирование страховой части трудовой пенсии всей суммы страховых взносов по индивидуальному тарифу.</w:t>
      </w:r>
      <w:r>
        <w:rPr>
          <w:sz w:val="28"/>
          <w:szCs w:val="28"/>
        </w:rPr>
        <w:br/>
        <w:t xml:space="preserve">У тех, кто не подаст заявление до 31 декабря 2015 года и останется так называемым «молчуном», пенсионные накопления перестают формироваться </w:t>
      </w:r>
      <w:r>
        <w:rPr>
          <w:sz w:val="28"/>
          <w:szCs w:val="28"/>
        </w:rPr>
        <w:lastRenderedPageBreak/>
        <w:t>за счет поступления новых страховых взносов работодателя, а все страховые взносы будут направляться на формирование страховой части пенсии, т.е. на выплаты текущих пенсий нынешних пенсионеров.</w:t>
      </w:r>
      <w:r>
        <w:rPr>
          <w:sz w:val="28"/>
          <w:szCs w:val="28"/>
        </w:rPr>
        <w:br/>
        <w:t>ДЛЯ РАБОТНИКОВ СФЕРЫ ОБРАЗОВАНИЯ ПРОФСОЮЗОМ СОВМЕСТНО С МИНИСТЕРСТВОМ ОБРАЗОВАНИЯ УЧРЕЖДЕН СВОЙ НЕГОСУДАРСТВЕННЫЙ ПЕНСИОННЫЙ ФОНД «ОБРАЗОВАНИЕ И НАУКА», В КОТОРЫЙ МОЖНО ПЕРЕВЕСТИ СВОЮ НАКОПИТЕЛЬНУЮ ЧАСТЬ ПЕНСИИ И УВЕЛИЧИТЬ ЕЕ К МОМЕНТУ ВЫХОДА НА ПЕНСИЮ.</w:t>
      </w:r>
    </w:p>
    <w:p w:rsidR="007973D3" w:rsidRDefault="007973D3" w:rsidP="007973D3">
      <w:pPr>
        <w:pStyle w:val="a3"/>
        <w:spacing w:before="0" w:beforeAutospacing="0" w:after="0" w:afterAutospacing="0"/>
        <w:rPr>
          <w:sz w:val="28"/>
          <w:szCs w:val="28"/>
        </w:rPr>
      </w:pPr>
      <w:r>
        <w:rPr>
          <w:sz w:val="28"/>
          <w:szCs w:val="28"/>
        </w:rPr>
        <w:t>НПФ «Образование и наука» действует на рынке пенсионных услуг 20 лет.</w:t>
      </w:r>
    </w:p>
    <w:p w:rsidR="007973D3" w:rsidRDefault="007973D3" w:rsidP="007973D3">
      <w:pPr>
        <w:pStyle w:val="a3"/>
        <w:spacing w:before="0" w:beforeAutospacing="0" w:after="0" w:afterAutospacing="0"/>
        <w:rPr>
          <w:sz w:val="28"/>
          <w:szCs w:val="28"/>
        </w:rPr>
      </w:pPr>
      <w:r>
        <w:rPr>
          <w:sz w:val="28"/>
          <w:szCs w:val="28"/>
        </w:rPr>
        <w:t>Основными учредителями являются: Профсоюз работников народного образования и науки РФ и Министерство образования РФ.</w:t>
      </w:r>
    </w:p>
    <w:p w:rsidR="007973D3" w:rsidRDefault="007973D3" w:rsidP="007973D3">
      <w:pPr>
        <w:pStyle w:val="a3"/>
        <w:spacing w:before="0" w:beforeAutospacing="0" w:after="0" w:afterAutospacing="0"/>
        <w:rPr>
          <w:sz w:val="28"/>
          <w:szCs w:val="28"/>
        </w:rPr>
      </w:pPr>
      <w:r>
        <w:rPr>
          <w:sz w:val="28"/>
          <w:szCs w:val="28"/>
        </w:rPr>
        <w:t>Накопленная доходность по ОПС за пять лет: 55,42% годовых</w:t>
      </w:r>
    </w:p>
    <w:p w:rsidR="007973D3" w:rsidRDefault="007973D3" w:rsidP="007973D3">
      <w:pPr>
        <w:pStyle w:val="a3"/>
        <w:spacing w:before="0" w:beforeAutospacing="0" w:after="0" w:afterAutospacing="0"/>
        <w:rPr>
          <w:sz w:val="28"/>
          <w:szCs w:val="28"/>
        </w:rPr>
      </w:pPr>
      <w:r>
        <w:rPr>
          <w:sz w:val="28"/>
          <w:szCs w:val="28"/>
        </w:rPr>
        <w:t>Суммарный показатель инфляции за пять лет: 36,8% годовых</w:t>
      </w:r>
    </w:p>
    <w:p w:rsidR="007973D3" w:rsidRDefault="007973D3" w:rsidP="007973D3">
      <w:pPr>
        <w:pStyle w:val="a3"/>
        <w:spacing w:before="0" w:beforeAutospacing="0" w:after="0" w:afterAutospacing="0"/>
        <w:rPr>
          <w:sz w:val="28"/>
          <w:szCs w:val="28"/>
        </w:rPr>
      </w:pPr>
      <w:r>
        <w:rPr>
          <w:sz w:val="28"/>
          <w:szCs w:val="28"/>
        </w:rPr>
        <w:t>Фонд является членом Национальной ассоциации пенсионных фондов</w:t>
      </w:r>
    </w:p>
    <w:p w:rsidR="007973D3" w:rsidRDefault="007973D3" w:rsidP="007973D3">
      <w:pPr>
        <w:pStyle w:val="a3"/>
        <w:spacing w:before="0" w:beforeAutospacing="0" w:after="0" w:afterAutospacing="0"/>
        <w:rPr>
          <w:sz w:val="28"/>
          <w:szCs w:val="28"/>
        </w:rPr>
      </w:pPr>
      <w:r>
        <w:rPr>
          <w:sz w:val="28"/>
          <w:szCs w:val="28"/>
        </w:rPr>
        <w:t>Фонд предлагает услуги в области ОПС и НПО организациям сферы образования и физическим лицам.</w:t>
      </w:r>
    </w:p>
    <w:p w:rsidR="007973D3" w:rsidRDefault="007973D3" w:rsidP="007973D3">
      <w:pPr>
        <w:pStyle w:val="a3"/>
        <w:spacing w:before="0" w:beforeAutospacing="0" w:after="0" w:afterAutospacing="0"/>
        <w:rPr>
          <w:sz w:val="28"/>
          <w:szCs w:val="28"/>
        </w:rPr>
      </w:pPr>
      <w:r>
        <w:rPr>
          <w:sz w:val="28"/>
          <w:szCs w:val="28"/>
        </w:rPr>
        <w:t>ГАРАНТИИ И ПРЕИМУЩЕСТВА НПФ В СРАВНЕНИИ С ПФР:</w:t>
      </w:r>
      <w:r>
        <w:rPr>
          <w:sz w:val="28"/>
          <w:szCs w:val="28"/>
        </w:rPr>
        <w:br/>
        <w:t>Более высокая доходность по сравнению с ГУК ( Т.Е. УПРАВЛЕНИЕМ ПФР)</w:t>
      </w:r>
      <w:r>
        <w:rPr>
          <w:sz w:val="28"/>
          <w:szCs w:val="28"/>
        </w:rPr>
        <w:br/>
        <w:t>Наличие индивидуального договора</w:t>
      </w:r>
      <w:r>
        <w:rPr>
          <w:sz w:val="28"/>
          <w:szCs w:val="28"/>
        </w:rPr>
        <w:br/>
        <w:t>Государственные гарантии:</w:t>
      </w:r>
      <w:r>
        <w:rPr>
          <w:sz w:val="28"/>
          <w:szCs w:val="28"/>
        </w:rPr>
        <w:br/>
        <w:t>деятельность НПФ контролируется со стороны государства Центральный банк Российской Федерации</w:t>
      </w:r>
      <w:r>
        <w:rPr>
          <w:sz w:val="28"/>
          <w:szCs w:val="28"/>
        </w:rPr>
        <w:br/>
        <w:t>по закону средства пенсионных накоплений ВСЕГДА</w:t>
      </w:r>
      <w:r>
        <w:rPr>
          <w:sz w:val="28"/>
          <w:szCs w:val="28"/>
        </w:rPr>
        <w:br/>
        <w:t>являются собственностью РФ</w:t>
      </w:r>
      <w:r>
        <w:rPr>
          <w:sz w:val="28"/>
          <w:szCs w:val="28"/>
        </w:rPr>
        <w:br/>
        <w:t>Лицензирование деятельности</w:t>
      </w:r>
      <w:r>
        <w:rPr>
          <w:sz w:val="28"/>
          <w:szCs w:val="28"/>
        </w:rPr>
        <w:br/>
        <w:t>Специализированный депозитарий</w:t>
      </w:r>
      <w:r>
        <w:rPr>
          <w:sz w:val="28"/>
          <w:szCs w:val="28"/>
        </w:rPr>
        <w:br/>
        <w:t>Независимый аудитор</w:t>
      </w:r>
      <w:r>
        <w:rPr>
          <w:sz w:val="28"/>
          <w:szCs w:val="28"/>
        </w:rPr>
        <w:br/>
        <w:t>Система внутреннего контроля</w:t>
      </w:r>
    </w:p>
    <w:p w:rsidR="007973D3" w:rsidRDefault="007973D3" w:rsidP="007973D3">
      <w:pPr>
        <w:pStyle w:val="a3"/>
        <w:spacing w:before="0" w:beforeAutospacing="0" w:after="0" w:afterAutospacing="0"/>
        <w:rPr>
          <w:sz w:val="28"/>
          <w:szCs w:val="28"/>
        </w:rPr>
      </w:pPr>
      <w:r>
        <w:rPr>
          <w:sz w:val="28"/>
          <w:szCs w:val="28"/>
        </w:rPr>
        <w:t>КОНТРОЛЬ ГОСУДАРСТВА ЗА ДЕЯТЕЛЬНОСТЬЮ НПФ «ОБРАЗОВАНИЕ И НАУКА» И ГАРАНТИИ ДЕЯТЕЛЬНОСТИ.</w:t>
      </w:r>
      <w:r>
        <w:rPr>
          <w:sz w:val="28"/>
          <w:szCs w:val="28"/>
        </w:rPr>
        <w:br/>
        <w:t>• При формировании накопительной части трудовой пенсии застрахованные лица имеют право отказаться от формирования накопительной части трудовой пенсии через Пенсионный фонд РФ и выбрать негосударственный пенсионный фонд в соответствии с законодательством РФ об обязательном пенсионном страховании. (Статья 31, п.2, Федеральный Закон №111 «Об инвестировании средств для финансирования накопительной части трудовой пенсии в РФ» от 24.07.2002г.)</w:t>
      </w:r>
      <w:r>
        <w:rPr>
          <w:sz w:val="28"/>
          <w:szCs w:val="28"/>
        </w:rPr>
        <w:br/>
        <w:t>• При ликвидации фонда средства пенсионных накоплений в трехмесячный срок передаются в Пенсионный фонд РФ в порядке, определяемом Правительством РФ. (Статья 33, п.3, Федеральный Закон №75 «О негосударственных пенсионных фондах» от 07.05.1998г.)</w:t>
      </w:r>
      <w:r>
        <w:rPr>
          <w:sz w:val="28"/>
          <w:szCs w:val="28"/>
        </w:rPr>
        <w:br/>
        <w:t xml:space="preserve">• Типовая форма договора об обязательном пенсионном страховании утверждается Правительством РФ. (Статья 36.3, п.2, Федеральный Закон №75 </w:t>
      </w:r>
      <w:r>
        <w:rPr>
          <w:sz w:val="28"/>
          <w:szCs w:val="28"/>
        </w:rPr>
        <w:lastRenderedPageBreak/>
        <w:t>«О негосударственных пенсионных фондах» от 07.05.1998г.)</w:t>
      </w:r>
      <w:r>
        <w:rPr>
          <w:sz w:val="28"/>
          <w:szCs w:val="28"/>
        </w:rPr>
        <w:br/>
        <w:t>• Право на трудовую пенсию по старости имеют мужчины, достигшие возраста 60 лет, и женщины, достигшие возраста 55 лет. Трудовая пенсия по старости назначается при наличии не менее пяти лет страхового стажа. (Статья 7, Федеральный Закон №173 «О трудовых пенсиях в РФ» от 17.12.2001г.).</w:t>
      </w:r>
      <w:r>
        <w:rPr>
          <w:sz w:val="28"/>
          <w:szCs w:val="28"/>
        </w:rPr>
        <w:br/>
        <w:t>ВСЕ ВОПРОСЫ ПО ПЕРЕВОДУ СВОЕЙ НАКОПИТЕЛЬНОЙ ЧАСТИ ПЕНСИИ ВЫ МОЖЕТЕ РЕШИТЬ В СВОЕЙ МЕСТНОЙ (РАЙОННОЙ, ГОРОДСКОЙ И ОКРУЖНОЙ) ОРГАНИНИЗАЦИИ ПРОФСОЮЗА ИЛИ В ОБКОМЕ ПРОФСОЮЗА. ТЕЛ. ДЛЯ СПРАВОК 43-18-72, 53-23-26.</w:t>
      </w:r>
    </w:p>
    <w:p w:rsidR="007973D3" w:rsidRDefault="007973D3" w:rsidP="007973D3"/>
    <w:p w:rsidR="00D203DE" w:rsidRDefault="00D203DE"/>
    <w:sectPr w:rsidR="00D203DE" w:rsidSect="00D203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973D3"/>
    <w:rsid w:val="001F0B7E"/>
    <w:rsid w:val="00340FD4"/>
    <w:rsid w:val="007973D3"/>
    <w:rsid w:val="00882A3D"/>
    <w:rsid w:val="00A947FE"/>
    <w:rsid w:val="00D203DE"/>
    <w:rsid w:val="00D42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3D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73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849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4729</Characters>
  <Application>Microsoft Office Word</Application>
  <DocSecurity>0</DocSecurity>
  <Lines>39</Lines>
  <Paragraphs>11</Paragraphs>
  <ScaleCrop>false</ScaleCrop>
  <Company>RePack by SPecialiST</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2015-11-17T19:38:00Z</dcterms:created>
  <dcterms:modified xsi:type="dcterms:W3CDTF">2015-11-17T19:39:00Z</dcterms:modified>
</cp:coreProperties>
</file>